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70EBE297">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2" w:firstLineChars="200"/>
        <w:textAlignment w:val="baseline"/>
        <w:rPr>
          <w:rFonts w:ascii="Times New Roman" w:eastAsia="宋体" w:hAnsi="Times New Roman" w:hint="eastAsia"/>
          <w:b/>
          <w:bCs/>
          <w:sz w:val="24"/>
        </w:rPr>
      </w:pPr>
      <w:r>
        <w:rPr>
          <w:rFonts w:ascii="Times New Roman" w:eastAsia="宋体" w:hAnsi="Times New Roman" w:hint="eastAsia"/>
          <w:b/>
          <w:bCs/>
          <w:sz w:val="24"/>
        </w:rPr>
        <w:t>孔渗分析测试内容描述、样品要求、所需仪器设备及精度要求：</w:t>
      </w:r>
    </w:p>
    <w:p w14:paraId="4F3C78CA">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孔隙度</w:t>
      </w:r>
      <w:r>
        <w:rPr>
          <w:rFonts w:ascii="Times New Roman" w:eastAsia="宋体" w:hAnsi="Times New Roman" w:hint="eastAsia"/>
          <w:sz w:val="24"/>
          <w:lang w:eastAsia="zh-CN"/>
        </w:rPr>
        <w:t>、</w:t>
      </w:r>
      <w:r>
        <w:rPr>
          <w:rFonts w:ascii="Times New Roman" w:eastAsia="宋体" w:hAnsi="Times New Roman" w:hint="eastAsia"/>
          <w:sz w:val="24"/>
        </w:rPr>
        <w:t>渗透率分析主要用于评估岩石的储集空间大小和流体渗流能力。采用气驱法（以惰性气体作为介质）对岩样进行非破坏性测试，利用波义耳定律测定岩心的孔隙度（体积百分数）以及达西定律测定渗透率（渗透系数，常用毫达西值mD）。此方法可快速获得岩石的有效孔隙度和绝对渗透率，以表征储层物性的优劣。</w:t>
      </w:r>
    </w:p>
    <w:p w14:paraId="2D949908">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p>
    <w:p w14:paraId="5F3EAECC">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对样品的要求：样品通常为经过干燥洁净的圆柱形岩心，典型尺寸为直径25mm或38mm、长度20</w:t>
      </w:r>
      <w:r>
        <w:rPr>
          <w:rFonts w:ascii="Times New Roman" w:eastAsia="宋体" w:hAnsi="Times New Roman" w:hint="eastAsia"/>
          <w:sz w:val="24"/>
          <w:lang w:val="en-US" w:eastAsia="zh-CN"/>
        </w:rPr>
        <w:t>~</w:t>
      </w:r>
      <w:r>
        <w:rPr>
          <w:rFonts w:ascii="Times New Roman" w:eastAsia="宋体" w:hAnsi="Times New Roman" w:hint="eastAsia"/>
          <w:sz w:val="24"/>
        </w:rPr>
        <w:t>80mm。岩心表面要求平整无裂隙，以保证测试结果代表孔隙结构本身。测试前样品需真空饱和气体或干燥处理，确保孔隙中无液体残留影响测量。</w:t>
      </w:r>
    </w:p>
    <w:p w14:paraId="62128CEE">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p>
    <w:p w14:paraId="5064A763">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所需仪器设备：</w:t>
      </w:r>
    </w:p>
    <w:p w14:paraId="5BF84DFE">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（1）气体孔隙度测定装置（氦气或氮气体积法孔隙度计），用于测量岩心的孔隙体积和计算孔隙度；</w:t>
      </w:r>
    </w:p>
    <w:p w14:paraId="3B7B56E0">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（2）气体渗透率测定装置（稳态或非稳态气体渗透仪），用于测量岩心两端在恒定压差下的气体流量以计算渗透率。通常实验装置可一体化实现孔、渗联测，并可在需要时施加围压模拟地层条件。</w:t>
      </w:r>
    </w:p>
    <w:p w14:paraId="6DE18A84">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p>
    <w:p w14:paraId="1473F305">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精度要求：本项目未对孔隙度和渗透率测试的量程及精度提出特殊要求，采用标准气驱仪器的精度即可满足需求。典型仪器可测量岩心孔隙度最高约60%，精度±0.5%；渗透率测量范围宽（约0.1mD</w:t>
      </w:r>
      <w:r>
        <w:rPr>
          <w:rFonts w:ascii="Times New Roman" w:eastAsia="宋体" w:hAnsi="Times New Roman" w:hint="eastAsia"/>
          <w:sz w:val="24"/>
          <w:lang w:val="en-US" w:eastAsia="zh-CN"/>
        </w:rPr>
        <w:t>~</w:t>
      </w:r>
      <w:r>
        <w:rPr>
          <w:rFonts w:ascii="Times New Roman" w:eastAsia="宋体" w:hAnsi="Times New Roman" w:hint="eastAsia"/>
          <w:sz w:val="24"/>
        </w:rPr>
        <w:t>1000mD皆可测）。仪器对中高渗透率样品（≥10mD）测定误差可控制在≤5%，对特低渗透率样品误差≤10%，能够满足常规岩心孔渗分析的精度需求。</w:t>
      </w:r>
    </w:p>
    <w:p w14:paraId="741A772B">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p>
    <w:p w14:paraId="1855336E">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2" w:firstLineChars="200"/>
        <w:textAlignment w:val="baseline"/>
        <w:rPr>
          <w:rFonts w:ascii="Times New Roman" w:eastAsia="宋体" w:hAnsi="Times New Roman" w:hint="eastAsia"/>
          <w:b/>
          <w:bCs/>
          <w:sz w:val="24"/>
        </w:rPr>
      </w:pPr>
      <w:r>
        <w:rPr>
          <w:rFonts w:ascii="Times New Roman" w:eastAsia="宋体" w:hAnsi="Times New Roman" w:hint="eastAsia"/>
          <w:b/>
          <w:bCs/>
          <w:sz w:val="24"/>
        </w:rPr>
        <w:t>薄片鉴定分析测试内容描述、样品要求、所需仪器设备及精度要求：</w:t>
      </w:r>
    </w:p>
    <w:p w14:paraId="19FD2063">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岩石薄片鉴定通过偏光显微镜观察岩石薄片，以定性、定量分析矿物组成和岩石结构构造特征。分析内容包括鉴定岩石中的主要矿物种类（如石英、长石、云母、胶结物等）及其相对含量，观察岩石颗粒的粒径、分选和磨圆特征，胶结物类型，孔隙充填情况等。定性分析可揭示岩石成因和成岩历史，定量分析则通过统计方法估算各矿物所占比例，用于岩石分类和储层评价。偏光显微观察下，利用单偏光和正交偏光下矿物的颜色、晶形、解理和干涉色等特征进行鉴定，并可结合薄片染色（如铸体孔隙蓝染）以区分孔隙与胶结物。</w:t>
      </w:r>
    </w:p>
    <w:p w14:paraId="13215717">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p>
    <w:p w14:paraId="01F6221D">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对样品的要求：样品需制备成岩石薄片，即将岩石样品截取制作成约30</w:t>
      </w:r>
      <w:r>
        <w:rPr>
          <w:rFonts w:ascii="Times New Roman" w:cs="Times New Roman" w:eastAsia="宋体" w:hAnsi="Times New Roman" w:hint="default"/>
          <w:sz w:val="24"/>
        </w:rPr>
        <w:t>μm</w:t>
      </w:r>
      <w:r>
        <w:rPr>
          <w:rFonts w:ascii="Times New Roman" w:eastAsia="宋体" w:hAnsi="Times New Roman" w:hint="eastAsia"/>
          <w:sz w:val="24"/>
        </w:rPr>
        <w:t>厚的薄片粘附在载玻片上。薄片表面要求平整抛光、厚度均一，以保证在透射光下矿物清晰可辨。薄片尺寸通常为标准载玻片大小（约26mm×46mm）便于显微镜观察。为定量分析孔隙和矿物含量，薄片常需用有色环氧树脂浸渗孔隙并染色，以便在显微镜下区分孔隙空间；同时要求薄片尽可能涵盖代表性纹理和矿物组合，避免因取样偏差影响鉴定结果。</w:t>
      </w:r>
    </w:p>
    <w:p w14:paraId="133938D6">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p>
    <w:p w14:paraId="03AFF62B">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所需仪器设备：</w:t>
      </w:r>
    </w:p>
    <w:p w14:paraId="79FE0CD8">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（1）偏光显微镜（透射式正交偏光显微镜），具有单双偏光观察模式和旋转载物台，可在不同放大倍数下观察矿物特征；配备数码成像系统用于拍摄显微照片；</w:t>
      </w:r>
    </w:p>
    <w:p w14:paraId="31F5A8FD">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（2）薄片矿物定量分析工具（如点计数器或图像分析软件），用于在显微镜下对薄片进行网格点计数统计各矿物出现频次，计算体积（面积）百分含量，从而实现矿物组成的定量估算。</w:t>
      </w:r>
    </w:p>
    <w:p w14:paraId="33C9D156">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p>
    <w:p w14:paraId="4C507287">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精度要求：显微鉴定的空间分辨能力取决于显微镜光学性能，常规光学显微镜可分辨约1</w:t>
      </w:r>
      <w:r>
        <w:rPr>
          <w:rFonts w:ascii="Times New Roman" w:eastAsia="宋体" w:hAnsi="Times New Roman" w:hint="eastAsia"/>
          <w:sz w:val="24"/>
          <w:lang w:val="en-US" w:eastAsia="zh-CN"/>
        </w:rPr>
        <w:t>~</w:t>
      </w:r>
      <w:r>
        <w:rPr>
          <w:rFonts w:ascii="Times New Roman" w:eastAsia="宋体" w:hAnsi="Times New Roman" w:hint="eastAsia"/>
          <w:sz w:val="24"/>
        </w:rPr>
        <w:t>2</w:t>
      </w:r>
      <w:r>
        <w:rPr>
          <w:rFonts w:ascii="Times New Roman" w:cs="Times New Roman" w:eastAsia="宋体" w:hAnsi="Times New Roman" w:hint="default"/>
          <w:sz w:val="24"/>
        </w:rPr>
        <w:t>μm</w:t>
      </w:r>
      <w:r>
        <w:rPr>
          <w:rFonts w:ascii="Times New Roman" w:eastAsia="宋体" w:hAnsi="Times New Roman" w:hint="eastAsia"/>
          <w:sz w:val="24"/>
        </w:rPr>
        <w:t>以上的细小颗粒。定性鉴定精度主要依赖于鉴定者经验和矿物典型光学特征，一般能可靠识别岩石中含量大于1%的主要矿物。定量精度取决于统计采样密度：采用300点以上的网格计数法可使主要矿物含量的统计误差控制在±2</w:t>
      </w:r>
      <w:r>
        <w:rPr>
          <w:rFonts w:ascii="Times New Roman" w:eastAsia="宋体" w:hAnsi="Times New Roman" w:hint="eastAsia"/>
          <w:sz w:val="24"/>
          <w:lang w:val="en-US" w:eastAsia="zh-CN"/>
        </w:rPr>
        <w:t>~</w:t>
      </w:r>
      <w:r>
        <w:rPr>
          <w:rFonts w:ascii="Times New Roman" w:eastAsia="宋体" w:hAnsi="Times New Roman" w:hint="eastAsia"/>
          <w:sz w:val="24"/>
        </w:rPr>
        <w:t>5%以内，满足半定量分析要求。</w:t>
      </w:r>
    </w:p>
    <w:p w14:paraId="0429207B">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p>
    <w:p w14:paraId="1C94656C">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2" w:firstLineChars="200"/>
        <w:textAlignment w:val="baseline"/>
        <w:rPr>
          <w:rFonts w:ascii="Times New Roman" w:eastAsia="宋体" w:hAnsi="Times New Roman" w:hint="eastAsia"/>
          <w:sz w:val="24"/>
        </w:rPr>
      </w:pPr>
      <w:r>
        <w:rPr>
          <w:rFonts w:ascii="Times New Roman" w:eastAsia="宋体" w:hAnsi="Times New Roman" w:hint="eastAsia"/>
          <w:b/>
          <w:bCs/>
          <w:sz w:val="24"/>
        </w:rPr>
        <w:t>扫描电镜分析测试内容描述、样品要求、所需仪器设备及精度要求：</w:t>
      </w:r>
    </w:p>
    <w:p w14:paraId="2043588C">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扫描电子显微镜（SEM）分析用于观察岩石的微观形貌、孔隙结构以及矿物微结构，并辅助进行微区成分分析。通过SEM的高倍成像，可以直观地获取岩石孔隙的形态、孔喉连通方式、颗粒接触关系以及</w:t>
      </w:r>
      <w:r>
        <w:rPr>
          <w:rFonts w:ascii="Times New Roman" w:eastAsia="宋体" w:hAnsi="Times New Roman" w:hint="eastAsia"/>
          <w:sz w:val="24"/>
          <w:lang w:eastAsia="zh-CN"/>
        </w:rPr>
        <w:t>粘土</w:t>
      </w:r>
      <w:r>
        <w:rPr>
          <w:rFonts w:ascii="Times New Roman" w:eastAsia="宋体" w:hAnsi="Times New Roman" w:hint="eastAsia"/>
          <w:sz w:val="24"/>
        </w:rPr>
        <w:t>等胶结物的微观形貌等信息。对于储层岩石，SEM分析常包括两种方式：一是未抛光样品的形貌观察，利用岩石天然断面或新鲜劈碎面直接镀膜后进行二次电子成像，着重展示孔隙和颗粒的表面形貌特征；二是抛光样品的成分及结构观察，将岩样（如浸渗树脂的岩石薄片或小块样品）表面抛光、喷镀导电膜后，在SEM下进行背散射电子成像及X射线能谱分析，以获取矿物间的分布关系和定性元素组成。SEM分析所得图像可用于表征纳米至微米尺度的孔隙分布、孔径大小及形状特征，以及辨识某些微小矿物（结合能谱可确认矿物成分），为研究储层物性和孔隙结构提供直观依据。报告中将选取典型的SEM图像输出，并对岩样的微观形貌、孔隙结构特征及矿物分布进行描述说明。</w:t>
      </w:r>
    </w:p>
    <w:p w14:paraId="39BEB12D">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p>
    <w:p w14:paraId="79938872">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对样品的要求：根据分析目的需制备两类样品。常规（未抛光）样品：选取岩石的新鲜断面或碎屑颗粒，尺寸以能放置于SEM载物台的样品座为准（通常几毫米见方），要求样品表面尽量保持天然破裂形貌，不经磨抛，以展示真实的孔隙和粒间关系。此类非导电样品需在真空镀膜仪上涂覆一层导电金属（如Au、Pt等），避免电子束充电。抛光样品：将岩样浸渗环氧树脂后切片或镶嵌，并对其表面精细研磨抛光，直至孔隙和矿物在同一平面暴露，表面粗糙度</w:t>
      </w:r>
      <w:r>
        <w:rPr>
          <w:rFonts w:ascii="Times New Roman" w:cs="Times New Roman" w:eastAsia="宋体" w:hAnsi="Times New Roman" w:hint="eastAsia"/>
          <w:sz w:val="24"/>
        </w:rPr>
        <w:t>&lt;</w:t>
      </w:r>
      <w:r>
        <w:rPr>
          <w:rFonts w:ascii="Times New Roman" w:eastAsia="宋体" w:hAnsi="Times New Roman" w:hint="eastAsia"/>
          <w:sz w:val="24"/>
        </w:rPr>
        <w:t>1</w:t>
      </w:r>
      <w:r>
        <w:rPr>
          <w:rFonts w:ascii="Times New Roman" w:cs="Times New Roman" w:eastAsia="宋体" w:hAnsi="Times New Roman" w:hint="default"/>
          <w:sz w:val="24"/>
        </w:rPr>
        <w:t>μm</w:t>
      </w:r>
      <w:r>
        <w:rPr>
          <w:rFonts w:ascii="Times New Roman" w:eastAsia="宋体" w:hAnsi="Times New Roman" w:hint="eastAsia"/>
          <w:sz w:val="24"/>
        </w:rPr>
        <w:t>。抛光样也需镀膜以提升导电性。要求样品代表性好，所选区域具有典型的孔隙和矿物组合。抛光样品有利于获得平坦截面用于元素微区分析和高分辨成像。</w:t>
      </w:r>
    </w:p>
    <w:p w14:paraId="2BC71A5D">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p>
    <w:p w14:paraId="30AB80E0">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所需仪器设备：</w:t>
      </w:r>
    </w:p>
    <w:p w14:paraId="4AA4EB4A">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（1）扫描电子显微镜（SEM），具备高真空成像模式及可调加速电压（例如0.5</w:t>
      </w:r>
      <w:r>
        <w:rPr>
          <w:rFonts w:ascii="Times New Roman" w:eastAsia="宋体" w:hAnsi="Times New Roman" w:hint="eastAsia"/>
          <w:sz w:val="24"/>
          <w:lang w:eastAsia="zh-CN"/>
        </w:rPr>
        <w:t>~</w:t>
      </w:r>
      <w:r>
        <w:rPr>
          <w:rFonts w:ascii="Times New Roman" w:eastAsia="宋体" w:hAnsi="Times New Roman" w:hint="eastAsia"/>
          <w:sz w:val="24"/>
        </w:rPr>
        <w:t>30kV），配有二次电子（SE）探测器用于表面形貌成像，和背散射电子（BSE）探测器用于组成反差成像；优选场发射枪SEM以获得更高分辨率；</w:t>
      </w:r>
    </w:p>
    <w:p w14:paraId="4DC99235">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（2）能量色散X射线光谱仪（EDS）附加于SEM，可对样品特定微区进行元素检测，辅助判别微小矿物的化学组成；</w:t>
      </w:r>
    </w:p>
    <w:p w14:paraId="12417AE3">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（3）真空镀膜仪，用于对非导电岩样进行金属镀膜处理；研磨抛光设备（切片机、研磨机等）用于制备平整抛光的样品截面。</w:t>
      </w:r>
    </w:p>
    <w:p w14:paraId="1495609A">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p>
    <w:p w14:paraId="57FAD030">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精度要求：SEM成像的空间分辨率可达纳米级别：传统钨灯丝热阴极SEM可实现约3</w:t>
      </w:r>
      <w:r>
        <w:rPr>
          <w:rFonts w:ascii="Times New Roman" w:eastAsia="宋体" w:hAnsi="Times New Roman" w:hint="eastAsia"/>
          <w:sz w:val="24"/>
          <w:lang w:val="en-US" w:eastAsia="zh-CN"/>
        </w:rPr>
        <w:t>~</w:t>
      </w:r>
      <w:r>
        <w:rPr>
          <w:rFonts w:ascii="Times New Roman" w:eastAsia="宋体" w:hAnsi="Times New Roman" w:hint="eastAsia"/>
          <w:sz w:val="24"/>
        </w:rPr>
        <w:t>6nm的分辨率，而场发射SEM的分辨率可优于1nm。本实验采用的SEM能够清晰分辨亚微米孔隙和颗粒细节。对于能谱定性分析，元素峰检测限约在0.1wt%上下，定量分析精度受制于样品均匀性和标定标准，主量元素含量测定相对误差一般在±5</w:t>
      </w:r>
      <w:r>
        <w:rPr>
          <w:rFonts w:ascii="Times New Roman" w:eastAsia="宋体" w:hAnsi="Times New Roman" w:hint="eastAsia"/>
          <w:sz w:val="24"/>
          <w:lang w:eastAsia="zh-CN"/>
        </w:rPr>
        <w:t>~</w:t>
      </w:r>
      <w:r>
        <w:rPr>
          <w:rFonts w:ascii="Times New Roman" w:eastAsia="宋体" w:hAnsi="Times New Roman" w:hint="eastAsia"/>
          <w:sz w:val="24"/>
        </w:rPr>
        <w:t>10%。在获得高质量图像的前提下，可对比分析不同样品孔隙形貌差异和矿物微结构特征，精度满足形貌定性表征和元素半定量分析要求。需要指出，SEM测量的尺寸精度由像素标定决定，通常±2%以内，对于孔径等尺寸的测量精度能达到几十纳米级别，但由于孔隙形状不规则，结果以定性描述为主。</w:t>
      </w:r>
    </w:p>
    <w:p w14:paraId="1666B3B7">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p>
    <w:p w14:paraId="149619F3">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2" w:firstLineChars="200"/>
        <w:textAlignment w:val="baseline"/>
        <w:rPr>
          <w:rFonts w:ascii="Times New Roman" w:eastAsia="宋体" w:hAnsi="Times New Roman" w:hint="eastAsia"/>
          <w:sz w:val="24"/>
        </w:rPr>
      </w:pPr>
      <w:r>
        <w:rPr>
          <w:rFonts w:ascii="Times New Roman" w:eastAsia="宋体" w:hAnsi="Times New Roman" w:hint="eastAsia"/>
          <w:b/>
          <w:bCs/>
          <w:sz w:val="24"/>
        </w:rPr>
        <w:t>XRD全岩</w:t>
      </w:r>
      <w:r>
        <w:rPr>
          <w:rFonts w:ascii="Times New Roman" w:eastAsia="宋体" w:hAnsi="Times New Roman" w:hint="eastAsia"/>
          <w:b/>
          <w:bCs/>
          <w:sz w:val="24"/>
          <w:lang w:val="en-US" w:eastAsia="zh-CN"/>
        </w:rPr>
        <w:t>粘</w:t>
      </w:r>
      <w:r>
        <w:rPr>
          <w:rFonts w:ascii="Times New Roman" w:eastAsia="宋体" w:hAnsi="Times New Roman" w:hint="eastAsia"/>
          <w:b/>
          <w:bCs/>
          <w:sz w:val="24"/>
        </w:rPr>
        <w:t>土分析测试内容描述、样品要求、所需仪器设备及精度要求：</w:t>
      </w:r>
    </w:p>
    <w:p w14:paraId="0CB846D3">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X射线衍射（XRD）分析用于鉴定岩石中的矿物组成和含量，包括全岩矿物相分析和粘土矿物专门分析。全岩XRD主要识别岩石中主要的结晶矿物（如石英、长石、方解石、白云石、黄铁矿等）并测定其相对含量，以了解岩石整体矿物组成特征。</w:t>
      </w:r>
      <w:r>
        <w:rPr>
          <w:rFonts w:ascii="Times New Roman" w:eastAsia="宋体" w:hAnsi="Times New Roman" w:hint="eastAsia"/>
          <w:sz w:val="24"/>
          <w:lang w:eastAsia="zh-CN"/>
        </w:rPr>
        <w:t>粘土</w:t>
      </w:r>
      <w:r>
        <w:rPr>
          <w:rFonts w:ascii="Times New Roman" w:eastAsia="宋体" w:hAnsi="Times New Roman" w:hint="eastAsia"/>
          <w:sz w:val="24"/>
        </w:rPr>
        <w:t>XRD则针对样品中的</w:t>
      </w:r>
      <w:r>
        <w:rPr>
          <w:rFonts w:ascii="Times New Roman" w:eastAsia="宋体" w:hAnsi="Times New Roman" w:hint="eastAsia"/>
          <w:sz w:val="24"/>
          <w:lang w:eastAsia="zh-CN"/>
        </w:rPr>
        <w:t>粘土</w:t>
      </w:r>
      <w:r>
        <w:rPr>
          <w:rFonts w:ascii="Times New Roman" w:eastAsia="宋体" w:hAnsi="Times New Roman" w:hint="eastAsia"/>
          <w:sz w:val="24"/>
        </w:rPr>
        <w:t>矿物组分（例如伊利石、蒙脱石、高岭石、绿泥石等），通过分离并富集粒径&lt;2</w:t>
      </w:r>
      <w:r>
        <w:rPr>
          <w:rFonts w:ascii="Times New Roman" w:cs="Times New Roman" w:eastAsia="宋体" w:hAnsi="Times New Roman" w:hint="default"/>
          <w:sz w:val="24"/>
        </w:rPr>
        <w:t>μm</w:t>
      </w:r>
      <w:r>
        <w:rPr>
          <w:rFonts w:ascii="Times New Roman" w:eastAsia="宋体" w:hAnsi="Times New Roman" w:hint="eastAsia"/>
          <w:sz w:val="24"/>
        </w:rPr>
        <w:t>的</w:t>
      </w:r>
      <w:r>
        <w:rPr>
          <w:rFonts w:ascii="Times New Roman" w:eastAsia="宋体" w:hAnsi="Times New Roman" w:hint="eastAsia"/>
          <w:sz w:val="24"/>
          <w:lang w:eastAsia="zh-CN"/>
        </w:rPr>
        <w:t>粘土</w:t>
      </w:r>
      <w:r>
        <w:rPr>
          <w:rFonts w:ascii="Times New Roman" w:eastAsia="宋体" w:hAnsi="Times New Roman" w:hint="eastAsia"/>
          <w:sz w:val="24"/>
        </w:rPr>
        <w:t>级组分进行专门的衍射测试，以鉴定</w:t>
      </w:r>
      <w:r>
        <w:rPr>
          <w:rFonts w:ascii="Times New Roman" w:eastAsia="宋体" w:hAnsi="Times New Roman" w:hint="eastAsia"/>
          <w:sz w:val="24"/>
          <w:lang w:eastAsia="zh-CN"/>
        </w:rPr>
        <w:t>粘土</w:t>
      </w:r>
      <w:r>
        <w:rPr>
          <w:rFonts w:ascii="Times New Roman" w:eastAsia="宋体" w:hAnsi="Times New Roman" w:hint="eastAsia"/>
          <w:sz w:val="24"/>
        </w:rPr>
        <w:t>矿物的种类及含量。XRD分析通过测量矿物晶面的特征衍射峰位置（2</w:t>
      </w:r>
      <w:r>
        <w:rPr>
          <w:rFonts w:ascii="Times New Roman" w:cs="Times New Roman" w:eastAsia="宋体" w:hAnsi="Times New Roman" w:hint="default"/>
          <w:sz w:val="24"/>
        </w:rPr>
        <w:t>θ</w:t>
      </w:r>
      <w:r>
        <w:rPr>
          <w:rFonts w:ascii="Times New Roman" w:eastAsia="宋体" w:hAnsi="Times New Roman" w:hint="eastAsia"/>
          <w:sz w:val="24"/>
        </w:rPr>
        <w:t>角）来定性判断矿物种类，利用峰强度经适当校正后可进行半定量到定量的含量计算。本次测试要求对XRD谱图进行定量解析，获得各主要矿物相的含量百分比，这对于评价储层矿物组成以及储层物性影响因素具有重要意义。</w:t>
      </w:r>
      <w:r>
        <w:rPr>
          <w:rFonts w:ascii="Times New Roman" w:eastAsia="宋体" w:hAnsi="Times New Roman" w:hint="eastAsia"/>
          <w:sz w:val="24"/>
          <w:lang w:eastAsia="zh-CN"/>
        </w:rPr>
        <w:t>粘土</w:t>
      </w:r>
      <w:r>
        <w:rPr>
          <w:rFonts w:ascii="Times New Roman" w:eastAsia="宋体" w:hAnsi="Times New Roman" w:hint="eastAsia"/>
          <w:sz w:val="24"/>
        </w:rPr>
        <w:t>矿物含量和种类尤其关系到储层孔隙结构和含水特征，因此需单独分析。</w:t>
      </w:r>
    </w:p>
    <w:p w14:paraId="1985708A">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p>
    <w:p w14:paraId="29EBFF5B">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对样品的要求：进行XRD分析的样品需充分研磨均匀。全岩XRD分析通常取样5</w:t>
      </w:r>
      <w:r>
        <w:rPr>
          <w:rFonts w:ascii="Times New Roman" w:eastAsia="宋体" w:hAnsi="Times New Roman" w:hint="eastAsia"/>
          <w:sz w:val="24"/>
          <w:lang w:val="en-US" w:eastAsia="zh-CN"/>
        </w:rPr>
        <w:t>~</w:t>
      </w:r>
      <w:r>
        <w:rPr>
          <w:rFonts w:ascii="Times New Roman" w:eastAsia="宋体" w:hAnsi="Times New Roman" w:hint="eastAsia"/>
          <w:sz w:val="24"/>
        </w:rPr>
        <w:t>10g岩石，研磨至200目（≤75</w:t>
      </w:r>
      <w:r>
        <w:rPr>
          <w:rFonts w:ascii="Times New Roman" w:cs="Times New Roman" w:eastAsia="宋体" w:hAnsi="Times New Roman" w:hint="default"/>
          <w:sz w:val="24"/>
        </w:rPr>
        <w:t>μm</w:t>
      </w:r>
      <w:r>
        <w:rPr>
          <w:rFonts w:ascii="Times New Roman" w:eastAsia="宋体" w:hAnsi="Times New Roman" w:hint="eastAsia"/>
          <w:sz w:val="24"/>
        </w:rPr>
        <w:t>）以下的细粉末，以消除颗粒取向和大小差异对衍射的影响。若岩样含有机质或盐类，可在研磨前进行预处理（如低温灰化去有机质、蒸馏水清洗去盐）。</w:t>
      </w:r>
      <w:r>
        <w:rPr>
          <w:rFonts w:ascii="Times New Roman" w:eastAsia="宋体" w:hAnsi="Times New Roman" w:hint="eastAsia"/>
          <w:sz w:val="24"/>
          <w:lang w:eastAsia="zh-CN"/>
        </w:rPr>
        <w:t>粘土</w:t>
      </w:r>
      <w:r>
        <w:rPr>
          <w:rFonts w:ascii="Times New Roman" w:eastAsia="宋体" w:hAnsi="Times New Roman" w:hint="eastAsia"/>
          <w:sz w:val="24"/>
        </w:rPr>
        <w:t>矿物分析需要从样品中富集</w:t>
      </w:r>
      <w:r>
        <w:rPr>
          <w:rFonts w:ascii="Times New Roman" w:eastAsia="宋体" w:hAnsi="Times New Roman" w:hint="eastAsia"/>
          <w:sz w:val="24"/>
          <w:lang w:eastAsia="zh-CN"/>
        </w:rPr>
        <w:t>粘土</w:t>
      </w:r>
      <w:r>
        <w:rPr>
          <w:rFonts w:ascii="Times New Roman" w:eastAsia="宋体" w:hAnsi="Times New Roman" w:hint="eastAsia"/>
          <w:sz w:val="24"/>
        </w:rPr>
        <w:t>级组分：一般将岩石粉末酸溶去除碳酸盐等水化矿物，再采用悬浮离心法分离出粒径&lt;2</w:t>
      </w:r>
      <w:r>
        <w:rPr>
          <w:rFonts w:ascii="Times New Roman" w:cs="Times New Roman" w:eastAsia="宋体" w:hAnsi="Times New Roman" w:hint="default"/>
          <w:sz w:val="24"/>
        </w:rPr>
        <w:t>μm</w:t>
      </w:r>
      <w:r>
        <w:rPr>
          <w:rFonts w:ascii="Times New Roman" w:eastAsia="宋体" w:hAnsi="Times New Roman" w:hint="eastAsia"/>
          <w:sz w:val="24"/>
        </w:rPr>
        <w:t>的</w:t>
      </w:r>
      <w:r>
        <w:rPr>
          <w:rFonts w:ascii="Times New Roman" w:eastAsia="宋体" w:hAnsi="Times New Roman" w:hint="eastAsia"/>
          <w:sz w:val="24"/>
          <w:lang w:eastAsia="zh-CN"/>
        </w:rPr>
        <w:t>粘土</w:t>
      </w:r>
      <w:r>
        <w:rPr>
          <w:rFonts w:ascii="Times New Roman" w:eastAsia="宋体" w:hAnsi="Times New Roman" w:hint="eastAsia"/>
          <w:sz w:val="24"/>
        </w:rPr>
        <w:t>分散液，制备</w:t>
      </w:r>
      <w:r>
        <w:rPr>
          <w:rFonts w:ascii="Times New Roman" w:eastAsia="宋体" w:hAnsi="Times New Roman" w:hint="eastAsia"/>
          <w:sz w:val="24"/>
          <w:lang w:eastAsia="zh-CN"/>
        </w:rPr>
        <w:t>粘土</w:t>
      </w:r>
      <w:r>
        <w:rPr>
          <w:rFonts w:ascii="Times New Roman" w:eastAsia="宋体" w:hAnsi="Times New Roman" w:hint="eastAsia"/>
          <w:sz w:val="24"/>
        </w:rPr>
        <w:t>定向片样品。</w:t>
      </w:r>
      <w:r>
        <w:rPr>
          <w:rFonts w:ascii="Times New Roman" w:eastAsia="宋体" w:hAnsi="Times New Roman" w:hint="eastAsia"/>
          <w:sz w:val="24"/>
          <w:lang w:eastAsia="zh-CN"/>
        </w:rPr>
        <w:t>粘土</w:t>
      </w:r>
      <w:r>
        <w:rPr>
          <w:rFonts w:ascii="Times New Roman" w:eastAsia="宋体" w:hAnsi="Times New Roman" w:hint="eastAsia"/>
          <w:sz w:val="24"/>
        </w:rPr>
        <w:t>样品在玻璃载片上自然风干成膜后，可分两种状态测试：空气干燥态和乙二醇饱和态（通过乙二醇溶剂处理样品），以区分可膨胀型</w:t>
      </w:r>
      <w:r>
        <w:rPr>
          <w:rFonts w:ascii="Times New Roman" w:eastAsia="宋体" w:hAnsi="Times New Roman" w:hint="eastAsia"/>
          <w:sz w:val="24"/>
          <w:lang w:eastAsia="zh-CN"/>
        </w:rPr>
        <w:t>粘土</w:t>
      </w:r>
      <w:r>
        <w:rPr>
          <w:rFonts w:ascii="Times New Roman" w:eastAsia="宋体" w:hAnsi="Times New Roman" w:hint="eastAsia"/>
          <w:sz w:val="24"/>
        </w:rPr>
        <w:t>（如蒙脱石在乙二醇作用下特征峰位左移）和非膨胀型</w:t>
      </w:r>
      <w:r>
        <w:rPr>
          <w:rFonts w:ascii="Times New Roman" w:eastAsia="宋体" w:hAnsi="Times New Roman" w:hint="eastAsia"/>
          <w:sz w:val="24"/>
          <w:lang w:eastAsia="zh-CN"/>
        </w:rPr>
        <w:t>粘土</w:t>
      </w:r>
      <w:r>
        <w:rPr>
          <w:rFonts w:ascii="Times New Roman" w:eastAsia="宋体" w:hAnsi="Times New Roman" w:hint="eastAsia"/>
          <w:sz w:val="24"/>
        </w:rPr>
        <w:t>。必要时还可对</w:t>
      </w:r>
      <w:r>
        <w:rPr>
          <w:rFonts w:ascii="Times New Roman" w:eastAsia="宋体" w:hAnsi="Times New Roman" w:hint="eastAsia"/>
          <w:sz w:val="24"/>
          <w:lang w:eastAsia="zh-CN"/>
        </w:rPr>
        <w:t>粘土</w:t>
      </w:r>
      <w:r>
        <w:rPr>
          <w:rFonts w:ascii="Times New Roman" w:eastAsia="宋体" w:hAnsi="Times New Roman" w:hint="eastAsia"/>
          <w:sz w:val="24"/>
        </w:rPr>
        <w:t>样品加热处理（如550°C加热）以进一步确认蒙脱石等矿物。样品制备过程需避免引入石英粉等污染，确保测试结果准确反映样品原始矿物组成。</w:t>
      </w:r>
    </w:p>
    <w:p w14:paraId="7605ECC0">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p>
    <w:p w14:paraId="3AC83F8C">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所需仪器设备：</w:t>
      </w:r>
    </w:p>
    <w:p w14:paraId="0DCB8372">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（1）X射线衍射仪（XRD），配备铜靶</w:t>
      </w:r>
      <w:r>
        <w:rPr>
          <w:rFonts w:ascii="Times New Roman" w:cs="Times New Roman" w:eastAsia="宋体" w:hAnsi="Times New Roman" w:hint="default"/>
          <w:sz w:val="24"/>
        </w:rPr>
        <w:t>CuKα</w:t>
      </w:r>
      <w:r>
        <w:rPr>
          <w:rFonts w:ascii="Times New Roman" w:eastAsia="宋体" w:hAnsi="Times New Roman" w:hint="eastAsia"/>
          <w:sz w:val="24"/>
        </w:rPr>
        <w:t>放射源和</w:t>
      </w:r>
      <w:r>
        <w:rPr>
          <w:rFonts w:ascii="Times New Roman" w:cs="Times New Roman" w:eastAsia="宋体" w:hAnsi="Times New Roman" w:hint="default"/>
          <w:sz w:val="24"/>
        </w:rPr>
        <w:t>θ</w:t>
      </w:r>
      <w:r>
        <w:rPr>
          <w:rFonts w:ascii="Times New Roman" w:eastAsia="宋体" w:hAnsi="Times New Roman" w:hint="eastAsia"/>
          <w:sz w:val="24"/>
          <w:lang w:val="en-US" w:eastAsia="zh-CN"/>
        </w:rPr>
        <w:t>~</w:t>
      </w:r>
      <w:r>
        <w:rPr>
          <w:rFonts w:ascii="Times New Roman" w:eastAsia="宋体" w:hAnsi="Times New Roman" w:hint="eastAsia"/>
          <w:sz w:val="24"/>
        </w:rPr>
        <w:t>2</w:t>
      </w:r>
      <w:r>
        <w:rPr>
          <w:rFonts w:ascii="Times New Roman" w:cs="Times New Roman" w:eastAsia="宋体" w:hAnsi="Times New Roman" w:hint="default"/>
          <w:sz w:val="24"/>
        </w:rPr>
        <w:t>θ</w:t>
      </w:r>
      <w:r>
        <w:rPr>
          <w:rFonts w:ascii="Times New Roman" w:eastAsia="宋体" w:hAnsi="Times New Roman" w:hint="eastAsia"/>
          <w:sz w:val="24"/>
        </w:rPr>
        <w:t>测角系统。仪器应具有高稳定性和分辨率（如测角仪精度≤0.01°2</w:t>
      </w:r>
      <w:r>
        <w:rPr>
          <w:rFonts w:ascii="Times New Roman" w:cs="Times New Roman" w:eastAsia="宋体" w:hAnsi="Times New Roman" w:hint="default"/>
          <w:sz w:val="24"/>
        </w:rPr>
        <w:t>θ</w:t>
      </w:r>
      <w:r>
        <w:rPr>
          <w:rFonts w:ascii="Times New Roman" w:eastAsia="宋体" w:hAnsi="Times New Roman" w:hint="eastAsia"/>
          <w:sz w:val="24"/>
        </w:rPr>
        <w:t>）。测试时对全岩样品进行宽角度扫描（典型2</w:t>
      </w:r>
      <w:r>
        <w:rPr>
          <w:rFonts w:ascii="Times New Roman" w:cs="Times New Roman" w:eastAsia="宋体" w:hAnsi="Times New Roman" w:hint="default"/>
          <w:sz w:val="24"/>
        </w:rPr>
        <w:t>θ</w:t>
      </w:r>
      <w:r>
        <w:rPr>
          <w:rFonts w:ascii="Times New Roman" w:eastAsia="宋体" w:hAnsi="Times New Roman" w:hint="eastAsia"/>
          <w:sz w:val="24"/>
        </w:rPr>
        <w:t>扫描范围5</w:t>
      </w:r>
      <w:r>
        <w:rPr>
          <w:rFonts w:ascii="Times New Roman" w:eastAsia="宋体" w:hAnsi="Times New Roman" w:hint="eastAsia"/>
          <w:sz w:val="24"/>
          <w:lang w:eastAsia="zh-CN"/>
        </w:rPr>
        <w:t>~</w:t>
      </w:r>
      <w:r>
        <w:rPr>
          <w:rFonts w:ascii="Times New Roman" w:eastAsia="宋体" w:hAnsi="Times New Roman" w:hint="eastAsia"/>
          <w:sz w:val="24"/>
        </w:rPr>
        <w:t>70°，步长0.02°），对</w:t>
      </w:r>
      <w:r>
        <w:rPr>
          <w:rFonts w:ascii="Times New Roman" w:eastAsia="宋体" w:hAnsi="Times New Roman" w:hint="eastAsia"/>
          <w:sz w:val="24"/>
          <w:lang w:eastAsia="zh-CN"/>
        </w:rPr>
        <w:t>粘土</w:t>
      </w:r>
      <w:r>
        <w:rPr>
          <w:rFonts w:ascii="Times New Roman" w:eastAsia="宋体" w:hAnsi="Times New Roman" w:hint="eastAsia"/>
          <w:sz w:val="24"/>
        </w:rPr>
        <w:t>定向片在小角度进行重点扫描（2</w:t>
      </w:r>
      <w:r>
        <w:rPr>
          <w:rFonts w:ascii="Times New Roman" w:cs="Times New Roman" w:eastAsia="宋体" w:hAnsi="Times New Roman" w:hint="default"/>
          <w:sz w:val="24"/>
        </w:rPr>
        <w:t>θ</w:t>
      </w:r>
      <w:r>
        <w:rPr>
          <w:rFonts w:ascii="Times New Roman" w:eastAsia="宋体" w:hAnsi="Times New Roman" w:hint="eastAsia"/>
          <w:sz w:val="24"/>
        </w:rPr>
        <w:t>约3</w:t>
      </w:r>
      <w:r>
        <w:rPr>
          <w:rFonts w:ascii="Times New Roman" w:eastAsia="宋体" w:hAnsi="Times New Roman" w:hint="eastAsia"/>
          <w:sz w:val="24"/>
          <w:lang w:eastAsia="zh-CN"/>
        </w:rPr>
        <w:t>~</w:t>
      </w:r>
      <w:r>
        <w:rPr>
          <w:rFonts w:ascii="Times New Roman" w:eastAsia="宋体" w:hAnsi="Times New Roman" w:hint="eastAsia"/>
          <w:sz w:val="24"/>
        </w:rPr>
        <w:t>30°），并分别在空气干燥和乙二醇饱和条件下采集衍射图谱；</w:t>
      </w:r>
    </w:p>
    <w:p w14:paraId="105B8E9D">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（2）定量分析软件及标准数据库：利用专业XRD分析软件进行物相检索匹配（例如PDF标准衍射卡片数据库)和Rietveld全谱拟合定量计算。软件可结合已知含量的标准样品或内标物（如加入一定比例的</w:t>
      </w:r>
      <w:r>
        <w:rPr>
          <w:rFonts w:ascii="Times New Roman" w:cs="Times New Roman" w:eastAsia="宋体" w:hAnsi="Times New Roman" w:hint="default"/>
          <w:sz w:val="24"/>
        </w:rPr>
        <w:t>α</w:t>
      </w:r>
      <w:r>
        <w:rPr>
          <w:rFonts w:ascii="Times New Roman" w:cs="Times New Roman" w:eastAsia="宋体" w:hAnsi="Times New Roman" w:hint="default"/>
          <w:sz w:val="24"/>
        </w:rPr>
        <w:t>-Al₂O₃</w:t>
      </w:r>
      <w:r>
        <w:rPr>
          <w:rFonts w:ascii="Times New Roman" w:eastAsia="宋体" w:hAnsi="Times New Roman" w:hint="eastAsia"/>
          <w:sz w:val="24"/>
        </w:rPr>
        <w:t>内标以校正吸收效应），对衍射峰强度进行精修，从而计算各矿物相含量；</w:t>
      </w:r>
    </w:p>
    <w:p w14:paraId="299FB875">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（3）样品前处理设备：研磨设备（颚式碎磨机、球磨机等）用于将全岩样品研磨至所需粒度；离心机、超声分散器等用于</w:t>
      </w:r>
      <w:r>
        <w:rPr>
          <w:rFonts w:ascii="Times New Roman" w:eastAsia="宋体" w:hAnsi="Times New Roman" w:hint="eastAsia"/>
          <w:sz w:val="24"/>
          <w:lang w:eastAsia="zh-CN"/>
        </w:rPr>
        <w:t>粘土</w:t>
      </w:r>
      <w:r>
        <w:rPr>
          <w:rFonts w:ascii="Times New Roman" w:eastAsia="宋体" w:hAnsi="Times New Roman" w:hint="eastAsia"/>
          <w:sz w:val="24"/>
        </w:rPr>
        <w:t>级分离富集；干燥箱和玻璃器皿用于制备</w:t>
      </w:r>
      <w:r>
        <w:rPr>
          <w:rFonts w:ascii="Times New Roman" w:eastAsia="宋体" w:hAnsi="Times New Roman" w:hint="eastAsia"/>
          <w:sz w:val="24"/>
          <w:lang w:eastAsia="zh-CN"/>
        </w:rPr>
        <w:t>粘土</w:t>
      </w:r>
      <w:r>
        <w:rPr>
          <w:rFonts w:ascii="Times New Roman" w:eastAsia="宋体" w:hAnsi="Times New Roman" w:hint="eastAsia"/>
          <w:sz w:val="24"/>
        </w:rPr>
        <w:t>定向取向片。</w:t>
      </w:r>
    </w:p>
    <w:p w14:paraId="6A16D8D8">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p>
    <w:p w14:paraId="2164C9D8">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精度要求：XRD分析属于多矿物混合物的定量半定量方法，精度取决于矿物晶体学因素和分析模型假设。通过采用内标校正和Rietveld精修，可将主要矿物相含量的定量误差控制在±5wt%以内，极低含量相的检测限约为1</w:t>
      </w:r>
      <w:r>
        <w:rPr>
          <w:rFonts w:ascii="Times New Roman" w:eastAsia="宋体" w:hAnsi="Times New Roman" w:hint="eastAsia"/>
          <w:sz w:val="24"/>
          <w:lang w:eastAsia="zh-CN"/>
        </w:rPr>
        <w:t>~</w:t>
      </w:r>
      <w:r>
        <w:rPr>
          <w:rFonts w:ascii="Times New Roman" w:eastAsia="宋体" w:hAnsi="Times New Roman" w:hint="eastAsia"/>
          <w:sz w:val="24"/>
        </w:rPr>
        <w:t>3wt%（低于此含量的矿物难以检出）。仪器的角度分辨本领要求高，以确保邻近衍射峰能够分开；例如2</w:t>
      </w:r>
      <w:r>
        <w:rPr>
          <w:rFonts w:ascii="Times New Roman" w:cs="Times New Roman" w:eastAsia="宋体" w:hAnsi="Times New Roman" w:hint="default"/>
          <w:sz w:val="24"/>
        </w:rPr>
        <w:t>θ</w:t>
      </w:r>
      <w:r>
        <w:rPr>
          <w:rFonts w:ascii="Times New Roman" w:eastAsia="宋体" w:hAnsi="Times New Roman" w:hint="eastAsia"/>
          <w:sz w:val="24"/>
        </w:rPr>
        <w:t>测角精度需优于0.02°，峰位定位误差&lt;0.01°。</w:t>
      </w:r>
      <w:r>
        <w:rPr>
          <w:rFonts w:ascii="Times New Roman" w:eastAsia="宋体" w:hAnsi="Times New Roman" w:hint="eastAsia"/>
          <w:sz w:val="24"/>
          <w:lang w:eastAsia="zh-CN"/>
        </w:rPr>
        <w:t>粘土</w:t>
      </w:r>
      <w:r>
        <w:rPr>
          <w:rFonts w:ascii="Times New Roman" w:eastAsia="宋体" w:hAnsi="Times New Roman" w:hint="eastAsia"/>
          <w:sz w:val="24"/>
        </w:rPr>
        <w:t>矿物的定量由于膨胀性和结晶度等影响，不确定性稍大，常以±5</w:t>
      </w:r>
      <w:r>
        <w:rPr>
          <w:rFonts w:ascii="Times New Roman" w:eastAsia="宋体" w:hAnsi="Times New Roman" w:hint="eastAsia"/>
          <w:sz w:val="24"/>
          <w:lang w:eastAsia="zh-CN"/>
        </w:rPr>
        <w:t>~</w:t>
      </w:r>
      <w:r>
        <w:rPr>
          <w:rFonts w:ascii="Times New Roman" w:eastAsia="宋体" w:hAnsi="Times New Roman" w:hint="eastAsia"/>
          <w:sz w:val="24"/>
        </w:rPr>
        <w:t>10%作为误差范围参考，并通过重复测试和经验校正提高可靠性。定性方面，衍射峰位置判别矿物种类的准确性高，一般误差不超过±0.1°2</w:t>
      </w:r>
      <w:r>
        <w:rPr>
          <w:rFonts w:ascii="Times New Roman" w:cs="Times New Roman" w:eastAsia="宋体" w:hAnsi="Times New Roman" w:hint="default"/>
          <w:sz w:val="24"/>
        </w:rPr>
        <w:t>θ</w:t>
      </w:r>
      <w:r>
        <w:rPr>
          <w:rFonts w:ascii="Times New Roman" w:eastAsia="宋体" w:hAnsi="Times New Roman" w:hint="eastAsia"/>
          <w:sz w:val="24"/>
        </w:rPr>
        <w:t>，确保了主要矿物相识别的正确性。</w:t>
      </w:r>
    </w:p>
    <w:p w14:paraId="7AF65435">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p>
    <w:p w14:paraId="50340FDB">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2" w:firstLineChars="200"/>
        <w:textAlignment w:val="baseline"/>
        <w:rPr>
          <w:rFonts w:ascii="Times New Roman" w:eastAsia="宋体" w:hAnsi="Times New Roman" w:hint="eastAsia"/>
          <w:sz w:val="24"/>
        </w:rPr>
      </w:pPr>
      <w:r>
        <w:rPr>
          <w:rFonts w:ascii="Times New Roman" w:eastAsia="宋体" w:hAnsi="Times New Roman" w:hint="eastAsia"/>
          <w:b/>
          <w:bCs/>
          <w:sz w:val="24"/>
        </w:rPr>
        <w:t>主微量元素分析测试内容描述、样品要求、所需仪器设备及精度要求：</w:t>
      </w:r>
    </w:p>
    <w:p w14:paraId="35E94D89">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主量</w:t>
      </w:r>
      <w:r>
        <w:rPr>
          <w:rFonts w:ascii="Times New Roman" w:eastAsia="宋体" w:hAnsi="Times New Roman" w:hint="eastAsia"/>
          <w:sz w:val="24"/>
          <w:lang w:eastAsia="zh-CN"/>
        </w:rPr>
        <w:t>、</w:t>
      </w:r>
      <w:r>
        <w:rPr>
          <w:rFonts w:ascii="Times New Roman" w:eastAsia="宋体" w:hAnsi="Times New Roman" w:hint="eastAsia"/>
          <w:sz w:val="24"/>
        </w:rPr>
        <w:t>微量元素分析旨在获取岩石样品的化学组成，包括主要元素的氧化物含量（如</w:t>
      </w:r>
      <w:r>
        <w:rPr>
          <w:rFonts w:ascii="Times New Roman" w:cs="Times New Roman" w:eastAsia="宋体" w:hAnsi="Times New Roman" w:hint="default"/>
          <w:sz w:val="24"/>
        </w:rPr>
        <w:t>SiO₂、Al₂O₃、FeOₓ、CaO、MgO、K₂O、Na₂O</w:t>
      </w:r>
      <w:r>
        <w:rPr>
          <w:rFonts w:ascii="Times New Roman" w:eastAsia="宋体" w:hAnsi="Times New Roman" w:hint="eastAsia"/>
          <w:sz w:val="24"/>
        </w:rPr>
        <w:t>等，一般以重量百分比表示）以及次要和微量元素含量（如</w:t>
      </w:r>
      <w:r>
        <w:rPr>
          <w:rFonts w:ascii="Times New Roman" w:cs="Times New Roman" w:eastAsia="宋体" w:hAnsi="Times New Roman" w:hint="default"/>
          <w:sz w:val="24"/>
        </w:rPr>
        <w:t>Ba、Sr、Ni、Cr</w:t>
      </w:r>
      <w:r>
        <w:rPr>
          <w:rFonts w:ascii="Times New Roman" w:eastAsia="宋体" w:hAnsi="Times New Roman" w:hint="eastAsia"/>
          <w:sz w:val="24"/>
        </w:rPr>
        <w:t>等，以</w:t>
      </w:r>
      <w:r>
        <w:rPr>
          <w:rFonts w:ascii="Times New Roman" w:cs="Times New Roman" w:eastAsia="宋体" w:hAnsi="Times New Roman" w:hint="eastAsia"/>
          <w:sz w:val="24"/>
        </w:rPr>
        <w:t>ppm</w:t>
      </w:r>
      <w:r>
        <w:rPr>
          <w:rFonts w:ascii="Times New Roman" w:eastAsia="宋体" w:hAnsi="Times New Roman" w:hint="eastAsia"/>
          <w:sz w:val="24"/>
        </w:rPr>
        <w:t>或百分含量表示）。通过对主量元素的分析，可进行岩石地球化学分类（例如确定岩石类型或成熟度），评价风化程度或沉积环境；微量元素和某些痕量元素则有助于示踪物源或成岩流体影响。烧失量（LOI，LossonIgnition）也是主量元素分析的重要组成部分，代表样品在高温灼烧下失去的质量百分比，用于估算样品中挥发组分（如结晶水、有机质、碳酸盐分解出的</w:t>
      </w:r>
      <w:r>
        <w:rPr>
          <w:rFonts w:ascii="Times New Roman" w:cs="Times New Roman" w:eastAsia="宋体" w:hAnsi="Times New Roman" w:hint="default"/>
          <w:sz w:val="24"/>
        </w:rPr>
        <w:t>CO₂</w:t>
      </w:r>
      <w:r>
        <w:rPr>
          <w:rFonts w:ascii="Times New Roman" w:eastAsia="宋体" w:hAnsi="Times New Roman" w:hint="eastAsia"/>
          <w:sz w:val="24"/>
        </w:rPr>
        <w:t>）的含量，从而保证主量元素氧化物总和接近100%。本次测试采用X射线荧光光谱法（XRF）对元素组成进行测定，具有分析速度快、结果精确度高的优点，可同时获得多元素数据。烧失量通过高温灼烧称量法测定，并与XRF结果结合用于校正总量。最终报告将提供各主量元素氧化物含量（含LOI校正）以及选定的微量元素含量。</w:t>
      </w:r>
    </w:p>
    <w:p w14:paraId="1584491C">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p>
    <w:p w14:paraId="0D4B18E4">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对样品的要求</w:t>
      </w:r>
      <w:r>
        <w:rPr>
          <w:rFonts w:ascii="Times New Roman" w:eastAsia="宋体" w:hAnsi="Times New Roman" w:hint="eastAsia"/>
          <w:sz w:val="24"/>
          <w:lang w:eastAsia="zh-CN"/>
        </w:rPr>
        <w:t>：</w:t>
      </w:r>
      <w:r>
        <w:rPr>
          <w:rFonts w:ascii="Times New Roman" w:eastAsia="宋体" w:hAnsi="Times New Roman" w:hint="eastAsia"/>
          <w:sz w:val="24"/>
        </w:rPr>
        <w:t>XRF分析要求样品均匀细磨且充分干燥。每个样品需取约50g代表性岩石，粉碎并研磨至粒径</w:t>
      </w:r>
      <w:r>
        <w:rPr>
          <w:rFonts w:ascii="Times New Roman" w:cs="Times New Roman" w:eastAsia="宋体" w:hAnsi="Times New Roman" w:hint="eastAsia"/>
          <w:sz w:val="24"/>
        </w:rPr>
        <w:t>≤74</w:t>
      </w:r>
      <w:r>
        <w:rPr>
          <w:rFonts w:ascii="Times New Roman" w:cs="Times New Roman" w:eastAsia="宋体" w:hAnsi="Times New Roman" w:hint="default"/>
          <w:sz w:val="24"/>
        </w:rPr>
        <w:t>μm</w:t>
      </w:r>
      <w:r>
        <w:rPr>
          <w:rFonts w:ascii="Times New Roman" w:cs="Times New Roman" w:eastAsia="宋体" w:hAnsi="Times New Roman" w:hint="eastAsia"/>
          <w:sz w:val="24"/>
        </w:rPr>
        <w:t>（200</w:t>
      </w:r>
      <w:r>
        <w:rPr>
          <w:rFonts w:ascii="Times New Roman" w:eastAsia="宋体" w:hAnsi="Times New Roman" w:hint="eastAsia"/>
          <w:sz w:val="24"/>
        </w:rPr>
        <w:t>目）细粉，以消除颗粒不均导致的基体效应和颗粒效应。为获得准确的主量元素结果，通常采用熔融制样法：取部分粉末（约0.5</w:t>
      </w:r>
      <w:r>
        <w:rPr>
          <w:rFonts w:ascii="Times New Roman" w:eastAsia="宋体" w:hAnsi="Times New Roman" w:hint="eastAsia"/>
          <w:sz w:val="24"/>
          <w:lang w:eastAsia="zh-CN"/>
        </w:rPr>
        <w:t>~</w:t>
      </w:r>
      <w:r>
        <w:rPr>
          <w:rFonts w:ascii="Times New Roman" w:eastAsia="宋体" w:hAnsi="Times New Roman" w:hint="eastAsia"/>
          <w:sz w:val="24"/>
        </w:rPr>
        <w:t>1g）与熔剂（如无水四硼酸锂）按一定比例混合，在高温熔融后倒制成玻璃熔片，用于XRF主量元素测试（熔片法可消除矿物基质影响，提高准确度）。微量元素可采用压片法制样：取部分粉末（5</w:t>
      </w:r>
      <w:r>
        <w:rPr>
          <w:rFonts w:ascii="Times New Roman" w:eastAsia="宋体" w:hAnsi="Times New Roman" w:hint="eastAsia"/>
          <w:sz w:val="24"/>
          <w:lang w:eastAsia="zh-CN"/>
        </w:rPr>
        <w:t>~</w:t>
      </w:r>
      <w:r>
        <w:rPr>
          <w:rFonts w:ascii="Times New Roman" w:eastAsia="宋体" w:hAnsi="Times New Roman" w:hint="eastAsia"/>
          <w:sz w:val="24"/>
        </w:rPr>
        <w:t>7g）加入适量粘结剂，在高压下压制成光滑的圆片，以避免自衬效应对荧光强度的影响。烧失量测定需另取约1</w:t>
      </w:r>
      <w:r>
        <w:rPr>
          <w:rFonts w:ascii="Times New Roman" w:eastAsia="宋体" w:hAnsi="Times New Roman" w:hint="eastAsia"/>
          <w:sz w:val="24"/>
          <w:lang w:eastAsia="zh-CN"/>
        </w:rPr>
        <w:t>~</w:t>
      </w:r>
      <w:r>
        <w:rPr>
          <w:rFonts w:ascii="Times New Roman" w:eastAsia="宋体" w:hAnsi="Times New Roman" w:hint="eastAsia"/>
          <w:sz w:val="24"/>
        </w:rPr>
        <w:t>2g样品粉末，先在110°C烘干至恒重（去除游离水），然后在坩埚中置于高温炉中加热（一般950</w:t>
      </w:r>
      <w:r>
        <w:rPr>
          <w:rFonts w:ascii="Times New Roman" w:eastAsia="宋体" w:hAnsi="Times New Roman" w:hint="eastAsia"/>
          <w:sz w:val="24"/>
          <w:lang w:eastAsia="zh-CN"/>
        </w:rPr>
        <w:t>~</w:t>
      </w:r>
      <w:r>
        <w:rPr>
          <w:rFonts w:ascii="Times New Roman" w:eastAsia="宋体" w:hAnsi="Times New Roman" w:hint="eastAsia"/>
          <w:sz w:val="24"/>
        </w:rPr>
        <w:t>1000°C灼烧2小时），冷却后称量，通过灼烧前后的质量差计算LOI值（精确至0.01g）。样品中如果含有易挥发元素（如</w:t>
      </w:r>
      <w:r>
        <w:rPr>
          <w:rFonts w:ascii="Times New Roman" w:cs="Times New Roman" w:eastAsia="宋体" w:hAnsi="Times New Roman" w:hint="default"/>
          <w:sz w:val="24"/>
        </w:rPr>
        <w:t>Cl、S</w:t>
      </w:r>
      <w:r>
        <w:rPr>
          <w:rFonts w:ascii="Times New Roman" w:eastAsia="宋体" w:hAnsi="Times New Roman" w:hint="eastAsia"/>
          <w:sz w:val="24"/>
        </w:rPr>
        <w:t>等）需注意其对烧失量的贡献。所有样品需制备重复，至少两次独立制样测试以检验数据的重复性。</w:t>
      </w:r>
    </w:p>
    <w:p w14:paraId="59487D10">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p>
    <w:p w14:paraId="6082126A">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所需仪器设备：</w:t>
      </w:r>
    </w:p>
    <w:p w14:paraId="18725EE4">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（1）波长色散型X射线荧光光谱仪（WDXRF），覆盖元素周期表从Na到U的分析范围，具备多道分析晶、高功率X射线管和稳定光路系统，以确保主量及微量元素的准确测定；</w:t>
      </w:r>
    </w:p>
    <w:p w14:paraId="22936B6B">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（2）高温马弗炉，用于烧失量（LOI）的高温灼烧实验，可控温至1000°C以上并具有恒温控制功能，配备精密电子天平（感量0.1mg）以称量烧前烧后样品质量；</w:t>
      </w:r>
    </w:p>
    <w:p w14:paraId="1A2A81FF">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3）样品制备设备：研磨设备（颚式破碎机、振动研磨机）用于将样品研磨至所需粒度；压片机及钢模用于制作样品压片；熔样炉及铂金坩埚用于制备玻璃熔融片；另外还需有一套多元素标准样品或标淮物质，用于XRF仪器校准和结果质量监控。</w:t>
      </w:r>
    </w:p>
    <w:p w14:paraId="1F179F94">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p>
    <w:p w14:paraId="256B3176">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精度要求：XRF主量元素分析通常具有较高的准确度和精密度。对于主要氧化物成分（含量在百分之几到数十百分比范围），分析相对误差通常小于±1</w:t>
      </w:r>
      <w:r>
        <w:rPr>
          <w:rFonts w:ascii="Times New Roman" w:eastAsia="宋体" w:hAnsi="Times New Roman" w:hint="eastAsia"/>
          <w:sz w:val="24"/>
          <w:lang w:eastAsia="zh-CN"/>
        </w:rPr>
        <w:t>~</w:t>
      </w:r>
      <w:r>
        <w:rPr>
          <w:rFonts w:ascii="Times New Roman" w:eastAsia="宋体" w:hAnsi="Times New Roman" w:hint="eastAsia"/>
          <w:sz w:val="24"/>
        </w:rPr>
        <w:t>2%，某些高含量氧化物（如</w:t>
      </w:r>
      <w:r>
        <w:rPr>
          <w:rFonts w:ascii="Times New Roman" w:cs="Times New Roman" w:eastAsia="宋体" w:hAnsi="Times New Roman" w:hint="default"/>
          <w:sz w:val="24"/>
        </w:rPr>
        <w:t>SiO₂~50wt%</w:t>
      </w:r>
      <w:r>
        <w:rPr>
          <w:rFonts w:ascii="Times New Roman" w:eastAsia="宋体" w:hAnsi="Times New Roman" w:hint="eastAsia"/>
          <w:sz w:val="24"/>
        </w:rPr>
        <w:t>）的重复测定偏差可控制在±0.5%以内。微量元素（含量以ppm计）的精度依元素及含量而异：在含量接近检测下限时不确定度较大，而在较高含量时（例如&gt;100ppm）相对误差可在±5%以内。XRF方法对痕量元素的一般检测限为数ppm到几十ppm不等（例如对Sr、Ba等重元素检测限可达几ppm）。烧失量测定的误差主要由样品称量及温度控制引起，一般LOI结果重复性误差&lt;0.1wt%。通过与标准参考物质对比校正，可确保报告的主量元素含量误差满足地球化学分析的要求（典型情况下，全岩主氧化物总和100%±1%以内，包括LOI）。</w:t>
      </w:r>
    </w:p>
    <w:p w14:paraId="5DFDD782">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p>
    <w:p w14:paraId="3FCB4EFD">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2" w:firstLineChars="200"/>
        <w:textAlignment w:val="baseline"/>
        <w:rPr>
          <w:rFonts w:ascii="Times New Roman" w:eastAsia="宋体" w:hAnsi="Times New Roman" w:hint="eastAsia"/>
          <w:b/>
          <w:bCs/>
          <w:sz w:val="24"/>
        </w:rPr>
      </w:pPr>
      <w:r>
        <w:rPr>
          <w:rFonts w:ascii="Times New Roman" w:eastAsia="宋体" w:hAnsi="Times New Roman" w:hint="eastAsia"/>
          <w:b/>
          <w:bCs/>
          <w:sz w:val="24"/>
        </w:rPr>
        <w:t>粒度分析测试内容描述、样品要求、所需仪器设备及精度要求：</w:t>
      </w:r>
    </w:p>
    <w:p w14:paraId="669A1C2A">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粒度分析通过筛分法测定颗粒材料的粒径分布，以评估样品的颗粒组成特征。对于沉积岩或松散沉积物，粒度分布是沉积环境和</w:t>
      </w:r>
      <w:r>
        <w:rPr>
          <w:rFonts w:ascii="Times New Roman" w:eastAsia="宋体" w:hAnsi="Times New Roman" w:hint="eastAsia"/>
          <w:sz w:val="24"/>
          <w:lang w:val="en-US" w:eastAsia="zh-CN"/>
        </w:rPr>
        <w:t>搬运</w:t>
      </w:r>
      <w:r>
        <w:rPr>
          <w:rFonts w:ascii="Times New Roman" w:eastAsia="宋体" w:hAnsi="Times New Roman" w:hint="eastAsia"/>
          <w:sz w:val="24"/>
        </w:rPr>
        <w:t>过程的重要参数。筛分法利用一系列具有不同孔径的标准筛网，将样品按粒径大小分级分离，并测定各粒级的质量百分比，从而获得粒度频率分布和累计分布曲线。本实验采用干筛法对样品进行粒度分析，将给出样品中最大颗粒和最小颗粒的粒径范围以及各粒径段所占比例。通过粒度分析，可以确定样品的平均粒径、中值粒径、分选系数等参数，用于沉积相分析或储层物性评价（如粒度与孔隙渗透性能的关系）。如果样品包含</w:t>
      </w:r>
      <w:r>
        <w:rPr>
          <w:rFonts w:ascii="Times New Roman" w:eastAsia="宋体" w:hAnsi="Times New Roman" w:hint="eastAsia"/>
          <w:sz w:val="24"/>
          <w:lang w:eastAsia="zh-CN"/>
        </w:rPr>
        <w:t>粘土</w:t>
      </w:r>
      <w:r>
        <w:rPr>
          <w:rFonts w:ascii="Times New Roman" w:eastAsia="宋体" w:hAnsi="Times New Roman" w:hint="eastAsia"/>
          <w:sz w:val="24"/>
        </w:rPr>
        <w:t>粉砂等非常细小组分，在筛分后剩余的细粉部分可结合沉降法补充分析，但本次以筛分结果为主。报告将列出各筛孔粒级的累计通过率和剩余率，并明确给出样品粒径范围（例如Xmm</w:t>
      </w:r>
      <w:r>
        <w:rPr>
          <w:rFonts w:ascii="Times New Roman" w:eastAsia="宋体" w:hAnsi="Times New Roman" w:hint="eastAsia"/>
          <w:sz w:val="24"/>
          <w:lang w:eastAsia="zh-CN"/>
        </w:rPr>
        <w:t>~</w:t>
      </w:r>
      <w:r>
        <w:rPr>
          <w:rFonts w:ascii="Times New Roman" w:eastAsia="宋体" w:hAnsi="Times New Roman" w:hint="eastAsia"/>
          <w:sz w:val="24"/>
        </w:rPr>
        <w:t>Y</w:t>
      </w:r>
      <w:r>
        <w:rPr>
          <w:rFonts w:ascii="Times New Roman" w:cs="Times New Roman" w:eastAsia="宋体" w:hAnsi="Times New Roman" w:hint="default"/>
          <w:sz w:val="24"/>
        </w:rPr>
        <w:t>μm</w:t>
      </w:r>
      <w:r>
        <w:rPr>
          <w:rFonts w:ascii="Times New Roman" w:eastAsia="宋体" w:hAnsi="Times New Roman" w:hint="eastAsia"/>
          <w:sz w:val="24"/>
        </w:rPr>
        <w:t>）。</w:t>
      </w:r>
    </w:p>
    <w:p w14:paraId="2B9D6B6F">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p>
    <w:p w14:paraId="7D460CC1">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对样品的要求：进行筛分分析的样品需具有代表性且足够量，一般每个样品取50</w:t>
      </w:r>
      <w:r>
        <w:rPr>
          <w:rFonts w:ascii="Times New Roman" w:eastAsia="宋体" w:hAnsi="Times New Roman" w:hint="eastAsia"/>
          <w:sz w:val="24"/>
          <w:lang w:eastAsia="zh-CN"/>
        </w:rPr>
        <w:t>~</w:t>
      </w:r>
      <w:r>
        <w:rPr>
          <w:rFonts w:ascii="Times New Roman" w:eastAsia="宋体" w:hAnsi="Times New Roman" w:hint="eastAsia"/>
          <w:sz w:val="24"/>
        </w:rPr>
        <w:t>100g的干燥散粒物质（岩屑或沉积物）。若样品为固结岩石，需要预先轻敲和研碎，尽可能解聚成单颗粒，但须避免粉碎过度以免细粒含量偏高。样品在筛分前应彻底干燥（如在105°C烘干至恒重），以防止颗粒团聚。对于粒度分析，样品不宜含有胶结的团块，否则应预处理（例如浸泡、超声）分散后再干燥。所使用的筛网孔径系列需覆盖样品中预计的最大和最小粒径范围。如果样品粒度跨度大，可分级筛分：先用大孔径筛去除砾石级别颗粒，再对砂级部分用细筛组继续筛分，以提高分离效率。</w:t>
      </w:r>
    </w:p>
    <w:p w14:paraId="2CE25440">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p>
    <w:p w14:paraId="3C85ABCE">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所需仪器设备：</w:t>
      </w:r>
    </w:p>
    <w:p w14:paraId="241E1528">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1）标准筛分套筛，一组常用筛孔径包括例如：2mm、1mm、0.5mm、0.25mm、0.125mm、0.063mm等，覆盖从砾砂级到粉砂级的范围（必要时更细筛网可采用湿筛或其他方法）；配套的筛架和机械振筛机，用于保持各筛层叠放并给予一定幅度和频率的振动，使颗粒充分分离；</w:t>
      </w:r>
    </w:p>
    <w:p w14:paraId="7C95E5E4">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（2）精密电子天平（量程≥200g，感量0.01g），用于称量各筛上残留物和筛下通过物的质量；</w:t>
      </w:r>
    </w:p>
    <w:p w14:paraId="2F85379D">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3）橡胶研钵或棒，用于轻柔推动样品通过筛孔（避免硬力挤压导致筛网损坏），软毛刷用于收集筛上颗粒；以及记录筛分顺序和数据的表格或电子记录工具。整个筛分过程按照规范操作，确保每个粒级颗粒充分筛分、不混contaminant，并收集全部颗粒避免损失。</w:t>
      </w:r>
    </w:p>
    <w:p w14:paraId="1BB2957E">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p>
    <w:p w14:paraId="412A615D">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精度要求：筛分法的粒度测定精度主要取决于筛网孔径的标准误差和称量精度。所用标准筛经过计量检定，其孔径偏差在国家标准允许范围内，可保证粒径划分的准确性（一般筛网误差&lt;±5%孔径）。粒度分辨率由筛孔系列决定，本实验最小筛孔约0.063mm，因此对于小于63μm的颗粒无法在干筛中进一步区分（如有需要可通过沉降法继续分析该部分）。称量方面，电子天平精度0.01g使每级颗粒质量测定误差&lt;0.01g，相对于每份样品几十克总量而言，各粒级含量计算的相对误差通常&lt;0.1%。通过重复筛分实验可以验证结果的再现性，一般两次独立筛分所得各粒级含量差异在±2%（绝对含量）以内视为精良。总体来说，筛分法能以足够的精确度表征粒度分布特征，所得最大粒径和最小粒径等参数准确可靠（最大粒径误差约为下一级筛孔尺寸的一半）。实验将严格按照标准操作以确保粒度数据的可信度，满足研究对样品粒度特征分析的要求。</w:t>
      </w:r>
    </w:p>
    <w:p w14:paraId="7CEE451A">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p>
    <w:p w14:paraId="6545A5CC">
      <w:pPr>
        <w:pStyle w:val="style0"/>
        <w:keepNext w:val="false"/>
        <w:keepLines w:val="false"/>
        <w:pageBreakBefore w:val="false"/>
        <w:widowControl/>
        <w:kinsoku w:val="false"/>
        <w:wordWrap/>
        <w:overflowPunct/>
        <w:topLinePunct w:val="false"/>
        <w:autoSpaceDE w:val="false"/>
        <w:autoSpaceDN w:val="false"/>
        <w:bidi w:val="false"/>
        <w:adjustRightInd w:val="false"/>
        <w:snapToGrid w:val="false"/>
        <w:spacing w:lineRule="auto" w:line="360"/>
        <w:ind w:firstLine="480" w:firstLineChars="200"/>
        <w:textAlignment w:val="baseline"/>
        <w:rPr>
          <w:rFonts w:ascii="Times New Roman" w:eastAsia="宋体" w:hAnsi="Times New Roman" w:hint="eastAsia"/>
          <w:sz w:val="24"/>
        </w:rPr>
      </w:pPr>
      <w:r>
        <w:rPr>
          <w:rFonts w:ascii="Times New Roman" w:eastAsia="宋体" w:hAnsi="Times New Roman" w:hint="eastAsia"/>
          <w:sz w:val="24"/>
        </w:rPr>
        <w:t>测试时间：</w:t>
      </w:r>
      <w:r>
        <w:rPr>
          <w:rFonts w:ascii="Times New Roman" w:eastAsia="宋体" w:hAnsi="Times New Roman" w:hint="eastAsia"/>
          <w:sz w:val="24"/>
        </w:rPr>
        <w:t>2025年</w:t>
      </w:r>
      <w:r>
        <w:rPr>
          <w:rFonts w:ascii="Times New Roman" w:eastAsia="宋体" w:hAnsi="Times New Roman" w:hint="default"/>
          <w:sz w:val="24"/>
          <w:lang w:val="en-US"/>
        </w:rPr>
        <w:t>05</w:t>
      </w:r>
      <w:r>
        <w:rPr>
          <w:rFonts w:ascii="Times New Roman" w:eastAsia="宋体" w:hAnsi="Times New Roman" w:hint="eastAsia"/>
          <w:sz w:val="24"/>
        </w:rPr>
        <w:t>月25日</w:t>
      </w:r>
      <w:r>
        <w:rPr>
          <w:rFonts w:ascii="Times New Roman" w:eastAsia="宋体" w:hAnsi="Times New Roman" w:hint="eastAsia"/>
          <w:sz w:val="24"/>
          <w:lang w:eastAsia="zh-CN"/>
        </w:rPr>
        <w:t>~</w:t>
      </w:r>
      <w:r>
        <w:rPr>
          <w:rFonts w:ascii="Times New Roman" w:eastAsia="宋体" w:hAnsi="Times New Roman" w:hint="eastAsia"/>
          <w:sz w:val="24"/>
        </w:rPr>
        <w:t>2025年</w:t>
      </w:r>
      <w:r>
        <w:rPr>
          <w:rFonts w:ascii="Times New Roman" w:eastAsia="宋体" w:hAnsi="Times New Roman" w:hint="default"/>
          <w:sz w:val="24"/>
          <w:lang w:val="en-US"/>
        </w:rPr>
        <w:t>10</w:t>
      </w:r>
      <w:r>
        <w:rPr>
          <w:rFonts w:ascii="Times New Roman" w:eastAsia="宋体" w:hAnsi="Times New Roman" w:hint="eastAsia"/>
          <w:sz w:val="24"/>
        </w:rPr>
        <w:t>月30日</w:t>
      </w:r>
      <w:bookmarkStart w:id="0" w:name="_GoBack"/>
      <w:bookmarkEnd w:id="0"/>
    </w:p>
    <w:sectPr>
      <w:pgSz w:w="11906" w:h="16838" w:orient="portrait"/>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20007A87" w:usb1="80000000" w:usb2="00000008" w:usb3="00000000" w:csb0="000001FF" w:csb1="00000000"/>
  </w:font>
  <w:font w:name="宋体">
    <w:altName w:val="宋体"/>
    <w:panose1 w:val="02010600030001010101"/>
    <w:charset w:val="86"/>
    <w:family w:val="auto"/>
    <w:pitch w:val="default"/>
    <w:sig w:usb0="00000003" w:usb1="288F0000" w:usb2="00000006" w:usb3="00000000" w:csb0="00040001" w:csb1="00000000"/>
  </w:font>
  <w:font w:name="Wingdings">
    <w:altName w:val="Wingdings"/>
    <w:panose1 w:val="05000000000000000000"/>
    <w:charset w:val="02"/>
    <w:family w:val="auto"/>
    <w:pitch w:val="default"/>
    <w:sig w:usb0="00000000" w:usb1="00000000" w:usb2="00000000" w:usb3="00000000" w:csb0="80000000" w:csb1="00000000"/>
  </w:font>
  <w:font w:name="Arial">
    <w:altName w:val="Arial"/>
    <w:panose1 w:val="020b0604020002020204"/>
    <w:charset w:val="01"/>
    <w:family w:val="swiss"/>
    <w:pitch w:val="default"/>
    <w:sig w:usb0="E0002EFF" w:usb1="C000785B" w:usb2="00000009" w:usb3="00000000" w:csb0="400001FF" w:csb1="FFFF0000"/>
  </w:font>
  <w:font w:name="黑体">
    <w:altName w:val="黑体"/>
    <w:panose1 w:val="02010609060001010101"/>
    <w:charset w:val="86"/>
    <w:family w:val="auto"/>
    <w:pitch w:val="default"/>
    <w:sig w:usb0="800002BF" w:usb1="38CF7CFA" w:usb2="00000016" w:usb3="00000000" w:csb0="00040001" w:csb1="00000000"/>
  </w:font>
  <w:font w:name="Courier New">
    <w:altName w:val="Courier New"/>
    <w:panose1 w:val="02070309020002020404"/>
    <w:charset w:val="01"/>
    <w:family w:val="modern"/>
    <w:pitch w:val="default"/>
    <w:sig w:usb0="E0002EFF" w:usb1="C0007843" w:usb2="00000009" w:usb3="00000000" w:csb0="400001FF" w:csb1="FFFF0000"/>
  </w:font>
  <w:font w:name="Symbol">
    <w:altName w:val="Symbol"/>
    <w:panose1 w:val="05050102010007020507"/>
    <w:charset w:val="02"/>
    <w:family w:val="roman"/>
    <w:pitch w:val="default"/>
    <w:sig w:usb0="00000000" w:usb1="00000000" w:usb2="00000000" w:usb3="00000000" w:csb0="80000000" w:csb1="00000000"/>
  </w:font>
  <w:font w:name="Calibri">
    <w:altName w:val="Calibri"/>
    <w:panose1 w:val="020f0502020002030204"/>
    <w:charset w:val="00"/>
    <w:family w:val="swiss"/>
    <w:pitch w:val="default"/>
    <w:sig w:usb0="E4002EFF" w:usb1="C000247B" w:usb2="00000009" w:usb3="00000000" w:csb0="200001FF" w:csb1="00000000"/>
  </w:font>
  <w:font w:name="楷体">
    <w:altName w:val="楷体"/>
    <w:panose1 w:val="020106090600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26"/>
  <w:embedSystemFonts/>
  <w:bordersDoNotSurroundHeader/>
  <w:bordersDoNotSurroundFooter/>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宋体" w:hAnsi="Calibri"/>
      </w:rPr>
    </w:rPrDefault>
    <w:pPrDefault>
      <w:pPr/>
    </w:pPrDefault>
  </w:docDefaults>
  <w:style w:type="paragraph" w:default="1" w:styleId="style0">
    <w:name w:val="Normal"/>
    <w:next w:val="style0"/>
    <w:qFormat/>
    <w:uiPriority w:val="0"/>
    <w:pPr>
      <w:kinsoku w:val="false"/>
      <w:autoSpaceDE w:val="false"/>
      <w:autoSpaceDN w:val="false"/>
      <w:adjustRightInd w:val="false"/>
      <w:snapToGrid w:val="false"/>
      <w:spacing w:lineRule="auto" w:line="240"/>
      <w:jc w:val="left"/>
      <w:textAlignment w:val="baseline"/>
    </w:pPr>
    <w:rPr>
      <w:rFonts w:ascii="Arial" w:cs="Arial" w:eastAsia="Arial" w:hAnsi="Arial"/>
      <w:snapToGrid w:val="false"/>
      <w:color w:val="000000"/>
      <w:kern w:val="0"/>
      <w:sz w:val="24"/>
      <w:szCs w:val="24"/>
      <w:lang w:val="en-US" w:bidi="ar-SA" w:eastAsia="en-US"/>
    </w:rPr>
  </w:style>
  <w:style w:type="character" w:default="1" w:styleId="style65">
    <w:name w:val="Default Paragraph Font"/>
    <w:next w:val="style65"/>
    <w:uiPriority w:val="0"/>
  </w:style>
  <w:style w:type="table" w:default="1" w:styleId="style105">
    <w:name w:val="Normal Table"/>
    <w:next w:val="style105"/>
    <w:uiPriority w:val="0"/>
    <w:pPr/>
    <w:rPr/>
    <w:tblPr>
      <w:tblCellMar>
        <w:top w:w="0" w:type="dxa"/>
        <w:left w:w="108" w:type="dxa"/>
        <w:bottom w:w="0" w:type="dxa"/>
        <w:right w:w="108" w:type="dxa"/>
      </w:tblCellMar>
    </w:tblPr>
    <w:tcPr>
      <w:tcBorders/>
    </w:tc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Words>6387</Words>
  <Pages>8</Pages>
  <Characters>6874</Characters>
  <Application>WPS Office</Application>
  <DocSecurity>0</DocSecurity>
  <Paragraphs>71</Paragraphs>
  <ScaleCrop>false</ScaleCrop>
  <LinksUpToDate>false</LinksUpToDate>
  <CharactersWithSpaces>6874</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2023-11-04T01:55:00Z</dcterms:created>
  <dc:creator>Windows</dc:creator>
  <lastModifiedBy>V2242A</lastModifiedBy>
  <dcterms:modified xsi:type="dcterms:W3CDTF">2025-06-30T07:07:57Z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F7C4972F668D435F935276531636C1C4_12</vt:lpwstr>
  </property>
  <property fmtid="{D5CDD505-2E9C-101B-9397-08002B2CF9AE}" pid="4" name="KSOTemplateDocerSaveRecord">
    <vt:lpwstr>eyJoZGlkIjoiOTcwNDllODk1YjFmN2VmOGZkMjA1NThmNGVhZmY5ZjgiLCJ1c2VySWQiOiIzMTIzNjE2OTUifQ==</vt:lpwstr>
  </property>
</Properties>
</file>